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42158BB8" w:rsidR="002E2B93" w:rsidRPr="007D0821" w:rsidRDefault="00293A3F" w:rsidP="002E2B93">
      <w:pPr>
        <w:pStyle w:val="Header"/>
        <w:spacing w:line="271" w:lineRule="auto"/>
        <w:rPr>
          <w:rFonts w:cstheme="minorHAnsi"/>
          <w:b/>
          <w:bCs/>
          <w:color w:val="C3001E"/>
          <w:sz w:val="32"/>
          <w:szCs w:val="32"/>
          <w:lang w:val="de-DE"/>
        </w:rPr>
      </w:pPr>
      <w:r>
        <w:rPr>
          <w:rFonts w:cstheme="minorHAnsi"/>
          <w:b/>
          <w:bCs/>
          <w:color w:val="C3001E"/>
          <w:sz w:val="32"/>
          <w:szCs w:val="32"/>
          <w:lang w:val="de-DE"/>
        </w:rPr>
        <w:t>FACH</w:t>
      </w:r>
      <w:r w:rsidR="000414AF">
        <w:rPr>
          <w:rFonts w:cstheme="minorHAnsi"/>
          <w:b/>
          <w:bCs/>
          <w:color w:val="C3001E"/>
          <w:sz w:val="32"/>
          <w:szCs w:val="32"/>
          <w:lang w:val="de-DE"/>
        </w:rPr>
        <w:t>ARTIKEL</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36317784" w14:textId="66F726E9" w:rsidR="000414AF" w:rsidRPr="000414AF" w:rsidRDefault="000414AF" w:rsidP="000414AF">
      <w:pPr>
        <w:shd w:val="clear" w:color="auto" w:fill="FFFFFF"/>
        <w:spacing w:after="100" w:afterAutospacing="1" w:line="240" w:lineRule="auto"/>
        <w:rPr>
          <w:rFonts w:cs="Arial"/>
          <w:b/>
          <w:color w:val="2C363A"/>
          <w:sz w:val="20"/>
          <w:szCs w:val="20"/>
          <w:lang w:val="de-DE" w:eastAsia="en-GB"/>
        </w:rPr>
      </w:pPr>
      <w:r w:rsidRPr="000414AF">
        <w:rPr>
          <w:rFonts w:cs="Arial"/>
          <w:b/>
          <w:color w:val="2C363A"/>
          <w:sz w:val="20"/>
          <w:szCs w:val="20"/>
          <w:lang w:val="de-DE" w:eastAsia="en-GB"/>
        </w:rPr>
        <w:t xml:space="preserve">Mex, Schweiz, </w:t>
      </w:r>
      <w:r>
        <w:rPr>
          <w:rFonts w:cs="Arial"/>
          <w:b/>
          <w:color w:val="2C363A"/>
          <w:sz w:val="20"/>
          <w:szCs w:val="20"/>
          <w:lang w:val="de-DE" w:eastAsia="en-GB"/>
        </w:rPr>
        <w:t>16</w:t>
      </w:r>
      <w:r w:rsidRPr="000414AF">
        <w:rPr>
          <w:rFonts w:cs="Arial"/>
          <w:b/>
          <w:color w:val="2C363A"/>
          <w:sz w:val="20"/>
          <w:szCs w:val="20"/>
          <w:lang w:val="de-DE" w:eastAsia="en-GB"/>
        </w:rPr>
        <w:t>. Februar 2021</w:t>
      </w:r>
      <w:r>
        <w:rPr>
          <w:rFonts w:cs="Arial"/>
          <w:b/>
          <w:color w:val="2C363A"/>
          <w:sz w:val="20"/>
          <w:szCs w:val="20"/>
          <w:lang w:val="de-DE" w:eastAsia="en-GB"/>
        </w:rPr>
        <w:br/>
      </w:r>
    </w:p>
    <w:p w14:paraId="22C2C112" w14:textId="77777777" w:rsidR="000414AF" w:rsidRPr="000414AF" w:rsidRDefault="000414AF" w:rsidP="000414AF">
      <w:pPr>
        <w:shd w:val="clear" w:color="auto" w:fill="FFFFFF"/>
        <w:spacing w:after="100" w:afterAutospacing="1" w:line="240" w:lineRule="auto"/>
        <w:rPr>
          <w:rFonts w:cs="Arial"/>
          <w:b/>
          <w:color w:val="2C363A"/>
          <w:sz w:val="20"/>
          <w:szCs w:val="20"/>
          <w:lang w:val="de-DE" w:eastAsia="en-GB"/>
        </w:rPr>
      </w:pPr>
      <w:r w:rsidRPr="000414AF">
        <w:rPr>
          <w:rFonts w:cs="Arial"/>
          <w:b/>
          <w:color w:val="2C363A"/>
          <w:sz w:val="20"/>
          <w:szCs w:val="20"/>
          <w:lang w:val="de-DE" w:eastAsia="en-GB"/>
        </w:rPr>
        <w:t>Alle Teile miteinander vernetzen: Wie BOBST Connect die Zukunft der Verpackungswelt formt</w:t>
      </w:r>
    </w:p>
    <w:p w14:paraId="24759945" w14:textId="77777777" w:rsidR="000414AF" w:rsidRPr="000414AF" w:rsidRDefault="000414AF" w:rsidP="000414AF">
      <w:pPr>
        <w:shd w:val="clear" w:color="auto" w:fill="FFFFFF"/>
        <w:spacing w:after="100" w:afterAutospacing="1" w:line="240" w:lineRule="auto"/>
        <w:rPr>
          <w:rFonts w:cs="Arial"/>
          <w:color w:val="FF0000"/>
          <w:sz w:val="20"/>
          <w:szCs w:val="20"/>
          <w:lang w:val="de-DE" w:eastAsia="en-GB"/>
        </w:rPr>
      </w:pPr>
      <w:r w:rsidRPr="000414AF">
        <w:rPr>
          <w:rFonts w:cs="Arial"/>
          <w:color w:val="2C363A"/>
          <w:sz w:val="20"/>
          <w:szCs w:val="20"/>
          <w:lang w:val="de-DE" w:eastAsia="en-GB"/>
        </w:rPr>
        <w:t>Gibt es überall Veränderung, wirkt es stabilisierend, vernetzt zu sein.</w:t>
      </w:r>
    </w:p>
    <w:p w14:paraId="4E85BBB7" w14:textId="77777777" w:rsidR="000414AF" w:rsidRPr="000414AF" w:rsidRDefault="000414AF" w:rsidP="000414AF">
      <w:pPr>
        <w:shd w:val="clear" w:color="auto" w:fill="FFFFFF"/>
        <w:spacing w:after="100" w:afterAutospacing="1" w:line="240" w:lineRule="auto"/>
        <w:rPr>
          <w:rFonts w:cs="Arial"/>
          <w:color w:val="2C363A"/>
          <w:sz w:val="20"/>
          <w:szCs w:val="20"/>
          <w:lang w:val="de-DE" w:eastAsia="en-GB"/>
        </w:rPr>
      </w:pPr>
      <w:r w:rsidRPr="000414AF">
        <w:rPr>
          <w:rFonts w:cs="Arial"/>
          <w:color w:val="2C363A"/>
          <w:sz w:val="20"/>
          <w:szCs w:val="20"/>
          <w:lang w:val="de-DE" w:eastAsia="en-GB"/>
        </w:rPr>
        <w:t xml:space="preserve">In der Verpackungswelt gibt es aktuell zweifelsfrei eine Reihe revolutionärer Veränderungen. Diese werden nicht nur von der COVID-19-Pandemie verursacht. Vielmehr sind sie auch auf den zunehmend härteren Wettbewerb, den Trend hin zu kürzeren Markteinführungszeiten und zu kleineren Losgrößen, die Forderungen nach perfekter Farbstabilität und Qualitätskontrolle sowie die Nachhaltigkeitsverpflichtungen von Unternehmen zurückzuführen. </w:t>
      </w:r>
    </w:p>
    <w:p w14:paraId="7B7F388A" w14:textId="77777777" w:rsidR="000414AF" w:rsidRPr="000414AF" w:rsidRDefault="000414AF" w:rsidP="000414AF">
      <w:pPr>
        <w:shd w:val="clear" w:color="auto" w:fill="FFFFFF"/>
        <w:spacing w:after="100" w:afterAutospacing="1" w:line="240" w:lineRule="auto"/>
        <w:rPr>
          <w:rFonts w:cs="Arial"/>
          <w:color w:val="2C363A"/>
          <w:sz w:val="20"/>
          <w:szCs w:val="20"/>
          <w:lang w:val="de-DE" w:eastAsia="en-GB"/>
        </w:rPr>
      </w:pPr>
      <w:r w:rsidRPr="000414AF">
        <w:rPr>
          <w:rFonts w:cs="Arial"/>
          <w:color w:val="2C363A"/>
          <w:sz w:val="20"/>
          <w:szCs w:val="20"/>
          <w:lang w:val="de-DE" w:eastAsia="en-GB"/>
        </w:rPr>
        <w:t xml:space="preserve">Für das Erreichen der Vernetzung unterstützt BOBST den Weg zu einer grundlegenden Umgestaltung der Wertschöpfungskette der Verpackungsbranche, die das isolierte „Silodasein“ der einzelnen Prozesse überwindet und eine durchgängige Vernetzbarkeit ermöglicht, in der alle Beteiligten einen Überblick über den gesamten Prozess bekommen. </w:t>
      </w:r>
    </w:p>
    <w:p w14:paraId="5AA8F6E6" w14:textId="77777777" w:rsidR="000414AF" w:rsidRPr="000414AF" w:rsidRDefault="000414AF" w:rsidP="000414AF">
      <w:pPr>
        <w:shd w:val="clear" w:color="auto" w:fill="FFFFFF"/>
        <w:spacing w:after="100" w:afterAutospacing="1" w:line="240" w:lineRule="auto"/>
        <w:rPr>
          <w:rFonts w:cs="Arial"/>
          <w:color w:val="2C363A"/>
          <w:sz w:val="20"/>
          <w:szCs w:val="20"/>
          <w:lang w:val="de-DE" w:eastAsia="en-GB"/>
        </w:rPr>
      </w:pPr>
      <w:r w:rsidRPr="000414AF">
        <w:rPr>
          <w:rFonts w:cs="Arial"/>
          <w:color w:val="2C363A"/>
          <w:sz w:val="20"/>
          <w:szCs w:val="20"/>
          <w:lang w:val="de-DE" w:eastAsia="en-GB"/>
        </w:rPr>
        <w:t xml:space="preserve">In diesem Zusammenhang hat BOBST </w:t>
      </w:r>
      <w:r w:rsidRPr="000414AF">
        <w:rPr>
          <w:rFonts w:cs="Arial"/>
          <w:sz w:val="20"/>
          <w:szCs w:val="20"/>
          <w:lang w:val="de-DE" w:eastAsia="en-GB"/>
        </w:rPr>
        <w:t xml:space="preserve">seine Zukunftsvision der Verpackungswelt </w:t>
      </w:r>
      <w:r w:rsidRPr="000414AF">
        <w:rPr>
          <w:rFonts w:cs="Arial"/>
          <w:color w:val="2C363A"/>
          <w:sz w:val="20"/>
          <w:szCs w:val="20"/>
          <w:lang w:val="de-DE" w:eastAsia="en-GB"/>
        </w:rPr>
        <w:t>vorgestellt und eine Strategie entwickelt, die auf die vier Säulen Vernetzung, Digitalisierung, Automatisierung und Nachhaltigkeit mit jeweils verschiedenen Lösungen baut. Das Fundament dieser Lösungen bildet mit</w:t>
      </w:r>
      <w:r w:rsidRPr="000414AF">
        <w:rPr>
          <w:rFonts w:cs="Arial"/>
          <w:sz w:val="20"/>
          <w:szCs w:val="20"/>
          <w:lang w:val="de-DE" w:eastAsia="en-GB"/>
        </w:rPr>
        <w:t xml:space="preserve"> </w:t>
      </w:r>
      <w:hyperlink r:id="rId7" w:history="1">
        <w:r w:rsidRPr="000414AF">
          <w:rPr>
            <w:rFonts w:cs="Arial"/>
            <w:color w:val="0563C1"/>
            <w:sz w:val="20"/>
            <w:szCs w:val="20"/>
            <w:u w:val="single"/>
            <w:lang w:val="de-DE" w:eastAsia="en-GB"/>
          </w:rPr>
          <w:t>BOBST Connect</w:t>
        </w:r>
      </w:hyperlink>
      <w:r w:rsidRPr="000414AF">
        <w:rPr>
          <w:rFonts w:cs="Arial"/>
          <w:color w:val="2C363A"/>
          <w:sz w:val="20"/>
          <w:szCs w:val="20"/>
          <w:lang w:val="de-DE" w:eastAsia="en-GB"/>
        </w:rPr>
        <w:t xml:space="preserve"> eine offene Plattform, die den gesamten Prozess der Verpackungsherstellung orchestriert, alle Schlüsselelemente der Verpackungsproduktion integriert und sie damit effektiver macht.</w:t>
      </w:r>
    </w:p>
    <w:p w14:paraId="1F14BDA2" w14:textId="77777777" w:rsidR="000414AF" w:rsidRPr="000414AF" w:rsidRDefault="000414AF" w:rsidP="000414AF">
      <w:pPr>
        <w:shd w:val="clear" w:color="auto" w:fill="FFFFFF"/>
        <w:spacing w:after="100" w:afterAutospacing="1" w:line="240" w:lineRule="auto"/>
        <w:rPr>
          <w:rFonts w:cs="Arial"/>
          <w:sz w:val="20"/>
          <w:szCs w:val="20"/>
          <w:lang w:val="de-DE" w:eastAsia="en-GB"/>
        </w:rPr>
      </w:pPr>
      <w:r w:rsidRPr="000414AF">
        <w:rPr>
          <w:rFonts w:cs="Arial"/>
          <w:color w:val="2C363A"/>
          <w:sz w:val="20"/>
          <w:szCs w:val="20"/>
          <w:lang w:val="de-DE" w:eastAsia="en-GB"/>
        </w:rPr>
        <w:t xml:space="preserve">“Bei BOBST Connect handelt es sich um eine einheitliche Plattform, die Druckdienstleistern sowie Verpackungs- und Werkzeugherstellern Zugriff auf unser Ökosystem digitaler Lösungen gibt, die neueste Internet of Things-Technik (IoT) nutzen,” erklärt Serge Morisod, Head of IoT Lab bei BOBST. “Sie erlaubt einen effizienten Datenfluss zwischen physischen Produktionssystemen und digitalen Lösungen, um eine schnelle und transparente Kommunikation in der gesamten Lieferkette zu ermöglichen und den gesamten Produktionsprozess zu optimieren. Vielleicht das Spannendste: Die BOBST Connect-Plattform wird permanent weiterentwickelt und liefert Schritt für Schritt mehr Möglichkeiten. </w:t>
      </w:r>
      <w:r w:rsidRPr="000414AF">
        <w:rPr>
          <w:rFonts w:cs="Arial"/>
          <w:sz w:val="20"/>
          <w:szCs w:val="20"/>
          <w:lang w:val="de-DE" w:eastAsia="en-GB"/>
        </w:rPr>
        <w:t xml:space="preserve"> </w:t>
      </w:r>
    </w:p>
    <w:p w14:paraId="79BBAECA" w14:textId="77777777" w:rsidR="000414AF" w:rsidRPr="000414AF" w:rsidRDefault="000414AF" w:rsidP="000414AF">
      <w:pPr>
        <w:spacing w:after="160" w:line="259" w:lineRule="auto"/>
        <w:rPr>
          <w:rFonts w:eastAsia="Calibri" w:cs="Arial"/>
          <w:b/>
          <w:sz w:val="20"/>
          <w:szCs w:val="20"/>
          <w:lang w:val="de-DE"/>
        </w:rPr>
      </w:pPr>
      <w:r w:rsidRPr="000414AF">
        <w:rPr>
          <w:rFonts w:cs="Arial"/>
          <w:color w:val="2C363A"/>
          <w:sz w:val="20"/>
          <w:szCs w:val="20"/>
          <w:lang w:val="de-DE" w:eastAsia="en-GB"/>
        </w:rPr>
        <w:t xml:space="preserve">BOBST Connect deckt fünf Bereiche ab: Druckvorstufe, Produktion, Prozessoptimierung, Wartung und Marktplatz. Für diese Bereiche sind bereits erste Lösungen verfügbar. Viele weitere Lösungen sind in Vorbereitung. (Die Zusammenfassung unten gibt eine Übersicht inklusive einiger Beispiele der geplanten Lösungen.) </w:t>
      </w:r>
    </w:p>
    <w:p w14:paraId="302D6B67" w14:textId="77777777" w:rsidR="000414AF" w:rsidRPr="000414AF" w:rsidRDefault="000414AF" w:rsidP="000414AF">
      <w:pPr>
        <w:spacing w:after="160" w:line="259" w:lineRule="auto"/>
        <w:rPr>
          <w:rFonts w:eastAsia="Calibri" w:cs="Arial"/>
          <w:b/>
          <w:sz w:val="20"/>
          <w:szCs w:val="20"/>
          <w:lang w:val="de-DE"/>
        </w:rPr>
      </w:pPr>
      <w:r w:rsidRPr="000414AF">
        <w:rPr>
          <w:rFonts w:eastAsia="Calibri" w:cs="Arial"/>
          <w:b/>
          <w:sz w:val="20"/>
          <w:szCs w:val="20"/>
          <w:lang w:val="de-DE"/>
        </w:rPr>
        <w:t>BOBST Connect: aktuelle und künftige Lösungen</w:t>
      </w:r>
    </w:p>
    <w:tbl>
      <w:tblPr>
        <w:tblStyle w:val="TableGrid10"/>
        <w:tblW w:w="0" w:type="auto"/>
        <w:tblLook w:val="04A0" w:firstRow="1" w:lastRow="0" w:firstColumn="1" w:lastColumn="0" w:noHBand="0" w:noVBand="1"/>
      </w:tblPr>
      <w:tblGrid>
        <w:gridCol w:w="2972"/>
        <w:gridCol w:w="3119"/>
        <w:gridCol w:w="2925"/>
      </w:tblGrid>
      <w:tr w:rsidR="000414AF" w:rsidRPr="000414AF" w14:paraId="00801B84" w14:textId="77777777" w:rsidTr="00765098">
        <w:tc>
          <w:tcPr>
            <w:tcW w:w="2972" w:type="dxa"/>
          </w:tcPr>
          <w:p w14:paraId="597E172C" w14:textId="77777777" w:rsidR="000414AF" w:rsidRPr="000414AF" w:rsidRDefault="000414AF" w:rsidP="000414AF">
            <w:pPr>
              <w:spacing w:line="240" w:lineRule="auto"/>
              <w:rPr>
                <w:rFonts w:eastAsia="Calibri" w:cs="Arial"/>
                <w:b/>
                <w:sz w:val="20"/>
                <w:szCs w:val="20"/>
                <w:lang w:val="de-DE"/>
              </w:rPr>
            </w:pPr>
          </w:p>
        </w:tc>
        <w:tc>
          <w:tcPr>
            <w:tcW w:w="3119" w:type="dxa"/>
          </w:tcPr>
          <w:p w14:paraId="554BDB22" w14:textId="77777777" w:rsidR="000414AF" w:rsidRPr="000414AF" w:rsidRDefault="000414AF" w:rsidP="000414AF">
            <w:pPr>
              <w:spacing w:line="240" w:lineRule="auto"/>
              <w:rPr>
                <w:rFonts w:eastAsia="Calibri" w:cs="Arial"/>
                <w:b/>
                <w:sz w:val="20"/>
                <w:szCs w:val="20"/>
                <w:lang w:val="de-DE"/>
              </w:rPr>
            </w:pPr>
            <w:r w:rsidRPr="000414AF">
              <w:rPr>
                <w:rFonts w:eastAsia="Calibri" w:cs="Arial"/>
                <w:b/>
                <w:sz w:val="20"/>
                <w:szCs w:val="20"/>
                <w:lang w:val="de-DE"/>
              </w:rPr>
              <w:t xml:space="preserve">BOBST Connect </w:t>
            </w:r>
          </w:p>
          <w:p w14:paraId="5A22939F" w14:textId="77777777" w:rsidR="000414AF" w:rsidRPr="000414AF" w:rsidRDefault="000414AF" w:rsidP="000414AF">
            <w:pPr>
              <w:spacing w:line="240" w:lineRule="auto"/>
              <w:rPr>
                <w:rFonts w:eastAsia="Calibri" w:cs="Arial"/>
                <w:b/>
                <w:sz w:val="20"/>
                <w:szCs w:val="20"/>
                <w:lang w:val="de-DE"/>
              </w:rPr>
            </w:pPr>
            <w:r w:rsidRPr="000414AF">
              <w:rPr>
                <w:rFonts w:eastAsia="Calibri" w:cs="Arial"/>
                <w:b/>
                <w:sz w:val="20"/>
                <w:szCs w:val="20"/>
                <w:lang w:val="de-DE"/>
              </w:rPr>
              <w:t>verfügbare Lösungen</w:t>
            </w:r>
          </w:p>
        </w:tc>
        <w:tc>
          <w:tcPr>
            <w:tcW w:w="2925" w:type="dxa"/>
          </w:tcPr>
          <w:p w14:paraId="7B8626A8" w14:textId="77777777" w:rsidR="000414AF" w:rsidRPr="000414AF" w:rsidRDefault="000414AF" w:rsidP="000414AF">
            <w:pPr>
              <w:spacing w:line="240" w:lineRule="auto"/>
              <w:rPr>
                <w:rFonts w:eastAsia="Calibri" w:cs="Arial"/>
                <w:b/>
                <w:sz w:val="20"/>
                <w:szCs w:val="20"/>
                <w:lang w:val="de-DE"/>
              </w:rPr>
            </w:pPr>
            <w:r w:rsidRPr="000414AF">
              <w:rPr>
                <w:rFonts w:eastAsia="Calibri" w:cs="Arial"/>
                <w:b/>
                <w:sz w:val="20"/>
                <w:szCs w:val="20"/>
                <w:lang w:val="de-DE"/>
              </w:rPr>
              <w:t xml:space="preserve">BOBST Connect </w:t>
            </w:r>
          </w:p>
          <w:p w14:paraId="6485EA73" w14:textId="77777777" w:rsidR="000414AF" w:rsidRPr="000414AF" w:rsidRDefault="000414AF" w:rsidP="000414AF">
            <w:pPr>
              <w:spacing w:line="240" w:lineRule="auto"/>
              <w:rPr>
                <w:rFonts w:eastAsia="Calibri" w:cs="Arial"/>
                <w:b/>
                <w:sz w:val="20"/>
                <w:szCs w:val="20"/>
                <w:vertAlign w:val="superscript"/>
                <w:lang w:val="de-DE"/>
              </w:rPr>
            </w:pPr>
            <w:r w:rsidRPr="000414AF">
              <w:rPr>
                <w:rFonts w:eastAsia="Calibri" w:cs="Arial"/>
                <w:b/>
                <w:sz w:val="20"/>
                <w:szCs w:val="20"/>
                <w:lang w:val="de-DE"/>
              </w:rPr>
              <w:t>Lösungen in Vorbereitung</w:t>
            </w:r>
            <w:r w:rsidRPr="000414AF">
              <w:rPr>
                <w:rFonts w:eastAsia="Calibri" w:cs="Arial"/>
                <w:b/>
                <w:sz w:val="20"/>
                <w:szCs w:val="20"/>
                <w:vertAlign w:val="superscript"/>
                <w:lang w:val="de-DE"/>
              </w:rPr>
              <w:t>1</w:t>
            </w:r>
          </w:p>
        </w:tc>
      </w:tr>
      <w:tr w:rsidR="000414AF" w:rsidRPr="000414AF" w14:paraId="2DA6D611" w14:textId="77777777" w:rsidTr="00765098">
        <w:tc>
          <w:tcPr>
            <w:tcW w:w="2972" w:type="dxa"/>
          </w:tcPr>
          <w:p w14:paraId="4DAC5358" w14:textId="77777777" w:rsidR="000414AF" w:rsidRPr="000414AF" w:rsidRDefault="000414AF" w:rsidP="000414AF">
            <w:pPr>
              <w:spacing w:line="240" w:lineRule="auto"/>
              <w:rPr>
                <w:rFonts w:eastAsia="Calibri" w:cs="Arial"/>
                <w:b/>
                <w:sz w:val="20"/>
                <w:szCs w:val="20"/>
                <w:lang w:val="de-DE"/>
              </w:rPr>
            </w:pPr>
            <w:r w:rsidRPr="000414AF">
              <w:rPr>
                <w:rFonts w:eastAsia="Calibri" w:cs="Arial"/>
                <w:b/>
                <w:sz w:val="20"/>
                <w:szCs w:val="20"/>
                <w:lang w:val="de-DE"/>
              </w:rPr>
              <w:t xml:space="preserve">Druckvorstufe </w:t>
            </w:r>
          </w:p>
          <w:p w14:paraId="6706403E" w14:textId="77777777" w:rsidR="000414AF" w:rsidRPr="000414AF" w:rsidRDefault="000414AF" w:rsidP="000414AF">
            <w:pPr>
              <w:spacing w:line="240" w:lineRule="auto"/>
              <w:rPr>
                <w:rFonts w:eastAsia="Calibri" w:cs="Arial"/>
                <w:b/>
                <w:sz w:val="20"/>
                <w:szCs w:val="20"/>
                <w:lang w:val="de-DE"/>
              </w:rPr>
            </w:pPr>
            <w:r w:rsidRPr="000414AF">
              <w:rPr>
                <w:rFonts w:eastAsia="Calibri" w:cs="Arial"/>
                <w:sz w:val="20"/>
                <w:szCs w:val="20"/>
                <w:lang w:val="de-DE"/>
              </w:rPr>
              <w:t xml:space="preserve">Agile und effiziente Unterstützung der Kunden bei der Vorbereitung eines Auftrages </w:t>
            </w:r>
          </w:p>
        </w:tc>
        <w:tc>
          <w:tcPr>
            <w:tcW w:w="3119" w:type="dxa"/>
          </w:tcPr>
          <w:p w14:paraId="75DB77B1" w14:textId="77777777" w:rsidR="000414AF" w:rsidRPr="000414AF" w:rsidRDefault="000414AF" w:rsidP="000414AF">
            <w:pPr>
              <w:numPr>
                <w:ilvl w:val="0"/>
                <w:numId w:val="11"/>
              </w:numPr>
              <w:spacing w:line="240" w:lineRule="auto"/>
              <w:contextualSpacing/>
              <w:rPr>
                <w:rFonts w:eastAsia="Calibri" w:cs="Arial"/>
                <w:sz w:val="20"/>
                <w:szCs w:val="20"/>
                <w:lang w:val="de-DE"/>
              </w:rPr>
            </w:pPr>
            <w:r w:rsidRPr="000414AF">
              <w:rPr>
                <w:rFonts w:eastAsia="Calibri" w:cs="Arial"/>
                <w:sz w:val="20"/>
                <w:szCs w:val="20"/>
                <w:lang w:val="de-DE"/>
              </w:rPr>
              <w:t>Mouvent Technology Digital Front End</w:t>
            </w:r>
          </w:p>
          <w:p w14:paraId="7F8BB416" w14:textId="77777777" w:rsidR="000414AF" w:rsidRPr="000414AF" w:rsidRDefault="000414AF" w:rsidP="000414AF">
            <w:pPr>
              <w:numPr>
                <w:ilvl w:val="0"/>
                <w:numId w:val="11"/>
              </w:numPr>
              <w:spacing w:line="240" w:lineRule="auto"/>
              <w:contextualSpacing/>
              <w:rPr>
                <w:rFonts w:eastAsia="Calibri" w:cs="Arial"/>
                <w:sz w:val="20"/>
                <w:szCs w:val="20"/>
                <w:lang w:val="de-DE"/>
              </w:rPr>
            </w:pPr>
            <w:r w:rsidRPr="000414AF">
              <w:rPr>
                <w:rFonts w:eastAsia="Calibri" w:cs="Arial"/>
                <w:color w:val="000000"/>
                <w:sz w:val="20"/>
                <w:szCs w:val="20"/>
                <w:lang w:val="de-DE"/>
              </w:rPr>
              <w:t>Datenschnittstellen zu Betriebsdaten und Planungssystemen (MES- und ERP-Systemen)</w:t>
            </w:r>
          </w:p>
        </w:tc>
        <w:tc>
          <w:tcPr>
            <w:tcW w:w="2925" w:type="dxa"/>
          </w:tcPr>
          <w:p w14:paraId="2D88BAB0" w14:textId="77777777" w:rsidR="000414AF" w:rsidRPr="000414AF" w:rsidRDefault="000414AF" w:rsidP="000414AF">
            <w:pPr>
              <w:numPr>
                <w:ilvl w:val="0"/>
                <w:numId w:val="11"/>
              </w:numPr>
              <w:spacing w:line="240" w:lineRule="auto"/>
              <w:contextualSpacing/>
              <w:rPr>
                <w:rFonts w:eastAsia="Calibri" w:cs="Arial"/>
                <w:sz w:val="20"/>
                <w:szCs w:val="20"/>
                <w:lang w:val="de-DE"/>
              </w:rPr>
            </w:pPr>
            <w:r w:rsidRPr="000414AF">
              <w:rPr>
                <w:rFonts w:eastAsia="Calibri" w:cs="Arial"/>
                <w:color w:val="000000"/>
                <w:sz w:val="20"/>
                <w:szCs w:val="20"/>
                <w:lang w:val="de-DE"/>
              </w:rPr>
              <w:t>Auftragseinrichtung</w:t>
            </w:r>
          </w:p>
          <w:p w14:paraId="716EADCD" w14:textId="77777777" w:rsidR="000414AF" w:rsidRPr="000414AF" w:rsidRDefault="000414AF" w:rsidP="000414AF">
            <w:pPr>
              <w:numPr>
                <w:ilvl w:val="0"/>
                <w:numId w:val="11"/>
              </w:numPr>
              <w:spacing w:line="240" w:lineRule="auto"/>
              <w:contextualSpacing/>
              <w:rPr>
                <w:rFonts w:eastAsia="Calibri" w:cs="Arial"/>
                <w:sz w:val="20"/>
                <w:szCs w:val="20"/>
                <w:lang w:val="de-DE"/>
              </w:rPr>
            </w:pPr>
            <w:r w:rsidRPr="000414AF">
              <w:rPr>
                <w:rFonts w:eastAsia="Calibri" w:cs="Arial"/>
                <w:color w:val="000000"/>
                <w:sz w:val="20"/>
                <w:szCs w:val="20"/>
                <w:lang w:val="de-DE"/>
              </w:rPr>
              <w:t>Auftrags-Checkliste</w:t>
            </w:r>
          </w:p>
          <w:p w14:paraId="3E0E96B2" w14:textId="77777777" w:rsidR="000414AF" w:rsidRPr="000414AF" w:rsidRDefault="000414AF" w:rsidP="000414AF">
            <w:pPr>
              <w:numPr>
                <w:ilvl w:val="0"/>
                <w:numId w:val="11"/>
              </w:numPr>
              <w:spacing w:line="240" w:lineRule="auto"/>
              <w:contextualSpacing/>
              <w:rPr>
                <w:rFonts w:eastAsia="Calibri" w:cs="Arial"/>
                <w:sz w:val="20"/>
                <w:szCs w:val="20"/>
                <w:lang w:val="de-DE"/>
              </w:rPr>
            </w:pPr>
            <w:r w:rsidRPr="000414AF">
              <w:rPr>
                <w:rFonts w:eastAsia="Calibri" w:cs="Arial"/>
                <w:color w:val="000000"/>
                <w:sz w:val="20"/>
                <w:szCs w:val="20"/>
                <w:lang w:val="de-DE"/>
              </w:rPr>
              <w:t>Einrichten der Inspektionssysteme</w:t>
            </w:r>
          </w:p>
          <w:p w14:paraId="50B80301" w14:textId="77777777" w:rsidR="000414AF" w:rsidRPr="000414AF" w:rsidRDefault="000414AF" w:rsidP="000414AF">
            <w:pPr>
              <w:numPr>
                <w:ilvl w:val="0"/>
                <w:numId w:val="11"/>
              </w:numPr>
              <w:spacing w:line="240" w:lineRule="auto"/>
              <w:contextualSpacing/>
              <w:rPr>
                <w:rFonts w:eastAsia="Calibri" w:cs="Arial"/>
                <w:sz w:val="20"/>
                <w:szCs w:val="20"/>
                <w:lang w:val="de-DE"/>
              </w:rPr>
            </w:pPr>
            <w:r w:rsidRPr="000414AF">
              <w:rPr>
                <w:rFonts w:eastAsia="Calibri" w:cs="Arial"/>
                <w:color w:val="000000"/>
                <w:sz w:val="20"/>
                <w:szCs w:val="20"/>
                <w:lang w:val="de-DE"/>
              </w:rPr>
              <w:t>Management für Werkzeuge</w:t>
            </w:r>
          </w:p>
          <w:p w14:paraId="3E581D1F" w14:textId="77777777" w:rsidR="000414AF" w:rsidRPr="000414AF" w:rsidRDefault="000414AF" w:rsidP="000414AF">
            <w:pPr>
              <w:numPr>
                <w:ilvl w:val="0"/>
                <w:numId w:val="11"/>
              </w:numPr>
              <w:spacing w:line="240" w:lineRule="auto"/>
              <w:contextualSpacing/>
              <w:rPr>
                <w:rFonts w:eastAsia="Calibri" w:cs="Arial"/>
                <w:sz w:val="20"/>
                <w:szCs w:val="20"/>
                <w:lang w:val="de-DE"/>
              </w:rPr>
            </w:pPr>
            <w:r w:rsidRPr="000414AF">
              <w:rPr>
                <w:rFonts w:eastAsia="Calibri" w:cs="Arial"/>
                <w:color w:val="000000"/>
                <w:sz w:val="20"/>
                <w:szCs w:val="20"/>
                <w:lang w:val="de-DE"/>
              </w:rPr>
              <w:lastRenderedPageBreak/>
              <w:t>Management der Maschineneinstellungen (recipe)</w:t>
            </w:r>
          </w:p>
          <w:p w14:paraId="55620D58" w14:textId="77777777" w:rsidR="000414AF" w:rsidRPr="000414AF" w:rsidRDefault="000414AF" w:rsidP="000414AF">
            <w:pPr>
              <w:numPr>
                <w:ilvl w:val="0"/>
                <w:numId w:val="11"/>
              </w:numPr>
              <w:spacing w:line="240" w:lineRule="auto"/>
              <w:contextualSpacing/>
              <w:rPr>
                <w:rFonts w:eastAsia="Calibri" w:cs="Arial"/>
                <w:sz w:val="20"/>
                <w:szCs w:val="20"/>
                <w:lang w:val="de-DE"/>
              </w:rPr>
            </w:pPr>
            <w:r w:rsidRPr="000414AF">
              <w:rPr>
                <w:rFonts w:eastAsia="Calibri" w:cs="Arial"/>
                <w:color w:val="000000"/>
                <w:sz w:val="20"/>
                <w:szCs w:val="20"/>
                <w:lang w:val="de-DE"/>
              </w:rPr>
              <w:t>Digitales Frontend-System für Laserstanzen</w:t>
            </w:r>
          </w:p>
        </w:tc>
      </w:tr>
      <w:tr w:rsidR="000414AF" w:rsidRPr="000414AF" w14:paraId="65F41667" w14:textId="77777777" w:rsidTr="00765098">
        <w:tc>
          <w:tcPr>
            <w:tcW w:w="2972" w:type="dxa"/>
          </w:tcPr>
          <w:p w14:paraId="746F0FA2" w14:textId="77777777" w:rsidR="000414AF" w:rsidRPr="000414AF" w:rsidRDefault="000414AF" w:rsidP="000414AF">
            <w:pPr>
              <w:spacing w:line="240" w:lineRule="auto"/>
              <w:rPr>
                <w:rFonts w:eastAsia="Calibri" w:cs="Arial"/>
                <w:b/>
                <w:sz w:val="20"/>
                <w:szCs w:val="20"/>
                <w:lang w:val="de-DE"/>
              </w:rPr>
            </w:pPr>
            <w:r w:rsidRPr="000414AF">
              <w:rPr>
                <w:rFonts w:eastAsia="Calibri" w:cs="Arial"/>
                <w:b/>
                <w:sz w:val="20"/>
                <w:szCs w:val="20"/>
                <w:lang w:val="de-DE"/>
              </w:rPr>
              <w:lastRenderedPageBreak/>
              <w:t>Produktion</w:t>
            </w:r>
          </w:p>
          <w:p w14:paraId="63B7A24D" w14:textId="77777777" w:rsidR="000414AF" w:rsidRPr="000414AF" w:rsidRDefault="000414AF" w:rsidP="000414AF">
            <w:pPr>
              <w:spacing w:line="240" w:lineRule="auto"/>
              <w:rPr>
                <w:rFonts w:eastAsia="Calibri" w:cs="Arial"/>
                <w:b/>
                <w:sz w:val="20"/>
                <w:szCs w:val="20"/>
                <w:lang w:val="de-DE"/>
              </w:rPr>
            </w:pPr>
            <w:r w:rsidRPr="000414AF">
              <w:rPr>
                <w:rFonts w:eastAsia="Calibri" w:cs="Arial"/>
                <w:sz w:val="20"/>
                <w:szCs w:val="20"/>
                <w:lang w:val="de-DE"/>
              </w:rPr>
              <w:t>Unterstützung der Kunden beim Abarbeiten des Auftrages auf der Maschine. Dabei wird ihnen ein kompletter und transparenter Zugriff auf die Produktionsdaten erlaubt</w:t>
            </w:r>
            <w:r w:rsidRPr="000414AF">
              <w:rPr>
                <w:rFonts w:eastAsia="Calibri" w:cs="Arial"/>
                <w:b/>
                <w:sz w:val="20"/>
                <w:szCs w:val="20"/>
                <w:lang w:val="de-DE"/>
              </w:rPr>
              <w:t>.</w:t>
            </w:r>
          </w:p>
        </w:tc>
        <w:tc>
          <w:tcPr>
            <w:tcW w:w="3119" w:type="dxa"/>
          </w:tcPr>
          <w:p w14:paraId="16DA45E8" w14:textId="77777777" w:rsidR="000414AF" w:rsidRPr="000414AF" w:rsidRDefault="000414AF" w:rsidP="000414AF">
            <w:pPr>
              <w:numPr>
                <w:ilvl w:val="0"/>
                <w:numId w:val="12"/>
              </w:numPr>
              <w:spacing w:line="240" w:lineRule="auto"/>
              <w:contextualSpacing/>
              <w:rPr>
                <w:rFonts w:eastAsia="Calibri" w:cs="Arial"/>
                <w:sz w:val="20"/>
                <w:szCs w:val="20"/>
                <w:lang w:val="de-DE"/>
              </w:rPr>
            </w:pPr>
            <w:r w:rsidRPr="000414AF">
              <w:rPr>
                <w:rFonts w:eastAsia="Calibri" w:cs="Arial"/>
                <w:sz w:val="20"/>
                <w:szCs w:val="20"/>
                <w:lang w:val="de-DE"/>
              </w:rPr>
              <w:t>Connect Portal und Mobile Portal</w:t>
            </w:r>
          </w:p>
          <w:p w14:paraId="4EB89844" w14:textId="77777777" w:rsidR="000414AF" w:rsidRPr="000414AF" w:rsidRDefault="000414AF" w:rsidP="000414AF">
            <w:pPr>
              <w:numPr>
                <w:ilvl w:val="0"/>
                <w:numId w:val="12"/>
              </w:numPr>
              <w:spacing w:line="240" w:lineRule="auto"/>
              <w:contextualSpacing/>
              <w:rPr>
                <w:rFonts w:eastAsia="Calibri" w:cs="Arial"/>
                <w:sz w:val="20"/>
                <w:szCs w:val="20"/>
                <w:lang w:val="de-DE"/>
              </w:rPr>
            </w:pPr>
            <w:r w:rsidRPr="000414AF">
              <w:rPr>
                <w:rFonts w:eastAsia="Calibri" w:cs="Arial"/>
                <w:sz w:val="20"/>
                <w:szCs w:val="20"/>
                <w:lang w:val="de-DE"/>
              </w:rPr>
              <w:t>Remote Monitoring (Daten Monitoring aus der Ferne)</w:t>
            </w:r>
          </w:p>
          <w:p w14:paraId="1AB65161" w14:textId="77777777" w:rsidR="000414AF" w:rsidRPr="000414AF" w:rsidRDefault="000414AF" w:rsidP="000414AF">
            <w:pPr>
              <w:numPr>
                <w:ilvl w:val="0"/>
                <w:numId w:val="12"/>
              </w:numPr>
              <w:spacing w:line="240" w:lineRule="auto"/>
              <w:contextualSpacing/>
              <w:rPr>
                <w:rFonts w:eastAsia="Calibri" w:cs="Arial"/>
                <w:sz w:val="20"/>
                <w:szCs w:val="20"/>
                <w:lang w:val="de-DE"/>
              </w:rPr>
            </w:pPr>
            <w:r w:rsidRPr="000414AF">
              <w:rPr>
                <w:rFonts w:eastAsia="Calibri" w:cs="Arial"/>
                <w:sz w:val="20"/>
                <w:szCs w:val="20"/>
                <w:lang w:val="de-DE"/>
              </w:rPr>
              <w:t>Downtime Tracking (Stillstandsverfolgung)</w:t>
            </w:r>
          </w:p>
        </w:tc>
        <w:tc>
          <w:tcPr>
            <w:tcW w:w="2925" w:type="dxa"/>
          </w:tcPr>
          <w:p w14:paraId="5F5CC68F" w14:textId="77777777" w:rsidR="000414AF" w:rsidRPr="000414AF" w:rsidRDefault="000414AF" w:rsidP="000414AF">
            <w:pPr>
              <w:numPr>
                <w:ilvl w:val="0"/>
                <w:numId w:val="12"/>
              </w:numPr>
              <w:spacing w:line="240" w:lineRule="auto"/>
              <w:contextualSpacing/>
              <w:rPr>
                <w:rFonts w:eastAsia="Calibri" w:cs="Arial"/>
                <w:sz w:val="20"/>
                <w:szCs w:val="20"/>
                <w:lang w:val="de-DE"/>
              </w:rPr>
            </w:pPr>
            <w:r w:rsidRPr="000414AF">
              <w:rPr>
                <w:rFonts w:eastAsia="Calibri" w:cs="Arial"/>
                <w:color w:val="000000"/>
                <w:sz w:val="20"/>
                <w:szCs w:val="20"/>
                <w:lang w:val="de-DE"/>
              </w:rPr>
              <w:t>Maschinendaten-Überwachung</w:t>
            </w:r>
          </w:p>
          <w:p w14:paraId="053A515E" w14:textId="77777777" w:rsidR="000414AF" w:rsidRPr="000414AF" w:rsidRDefault="000414AF" w:rsidP="000414AF">
            <w:pPr>
              <w:numPr>
                <w:ilvl w:val="0"/>
                <w:numId w:val="12"/>
              </w:numPr>
              <w:spacing w:line="240" w:lineRule="auto"/>
              <w:contextualSpacing/>
              <w:rPr>
                <w:rFonts w:eastAsia="Calibri" w:cs="Arial"/>
                <w:sz w:val="20"/>
                <w:szCs w:val="20"/>
                <w:lang w:val="de-DE"/>
              </w:rPr>
            </w:pPr>
            <w:r w:rsidRPr="000414AF">
              <w:rPr>
                <w:rFonts w:eastAsia="Calibri" w:cs="Arial"/>
                <w:color w:val="000000"/>
                <w:sz w:val="20"/>
                <w:szCs w:val="20"/>
                <w:lang w:val="de-DE"/>
              </w:rPr>
              <w:t>Produktionsdaten- Management</w:t>
            </w:r>
          </w:p>
          <w:p w14:paraId="29502877" w14:textId="77777777" w:rsidR="000414AF" w:rsidRPr="000414AF" w:rsidRDefault="000414AF" w:rsidP="000414AF">
            <w:pPr>
              <w:numPr>
                <w:ilvl w:val="0"/>
                <w:numId w:val="12"/>
              </w:numPr>
              <w:spacing w:line="240" w:lineRule="auto"/>
              <w:contextualSpacing/>
              <w:rPr>
                <w:rFonts w:eastAsia="Calibri" w:cs="Arial"/>
                <w:sz w:val="20"/>
                <w:szCs w:val="20"/>
                <w:lang w:val="de-DE"/>
              </w:rPr>
            </w:pPr>
            <w:r w:rsidRPr="000414AF">
              <w:rPr>
                <w:rFonts w:eastAsia="Calibri" w:cs="Arial"/>
                <w:color w:val="000000"/>
                <w:sz w:val="20"/>
                <w:szCs w:val="20"/>
                <w:lang w:val="de-DE"/>
              </w:rPr>
              <w:t>Werkzeug-Management</w:t>
            </w:r>
          </w:p>
          <w:p w14:paraId="032D223E" w14:textId="77777777" w:rsidR="000414AF" w:rsidRPr="000414AF" w:rsidRDefault="000414AF" w:rsidP="000414AF">
            <w:pPr>
              <w:numPr>
                <w:ilvl w:val="0"/>
                <w:numId w:val="12"/>
              </w:numPr>
              <w:spacing w:line="240" w:lineRule="auto"/>
              <w:contextualSpacing/>
              <w:rPr>
                <w:rFonts w:eastAsia="Calibri" w:cs="Arial"/>
                <w:sz w:val="20"/>
                <w:szCs w:val="20"/>
                <w:lang w:val="de-DE"/>
              </w:rPr>
            </w:pPr>
            <w:r w:rsidRPr="000414AF">
              <w:rPr>
                <w:rFonts w:eastAsia="Calibri" w:cs="Arial"/>
                <w:color w:val="000000"/>
                <w:sz w:val="20"/>
                <w:szCs w:val="20"/>
                <w:lang w:val="de-DE"/>
              </w:rPr>
              <w:t>Auftrags-Checkliste</w:t>
            </w:r>
          </w:p>
          <w:p w14:paraId="75876329" w14:textId="77777777" w:rsidR="000414AF" w:rsidRPr="000414AF" w:rsidRDefault="000414AF" w:rsidP="000414AF">
            <w:pPr>
              <w:numPr>
                <w:ilvl w:val="0"/>
                <w:numId w:val="12"/>
              </w:numPr>
              <w:spacing w:line="240" w:lineRule="auto"/>
              <w:contextualSpacing/>
              <w:rPr>
                <w:rFonts w:eastAsia="Calibri" w:cs="Arial"/>
                <w:sz w:val="20"/>
                <w:szCs w:val="20"/>
                <w:lang w:val="de-DE"/>
              </w:rPr>
            </w:pPr>
            <w:r w:rsidRPr="000414AF">
              <w:rPr>
                <w:rFonts w:eastAsia="Calibri" w:cs="Arial"/>
                <w:color w:val="000000"/>
                <w:sz w:val="20"/>
                <w:szCs w:val="20"/>
                <w:lang w:val="de-DE"/>
              </w:rPr>
              <w:t>Qualitätsberichte</w:t>
            </w:r>
          </w:p>
        </w:tc>
      </w:tr>
      <w:tr w:rsidR="000414AF" w:rsidRPr="000414AF" w14:paraId="0677F8AB" w14:textId="77777777" w:rsidTr="00765098">
        <w:tc>
          <w:tcPr>
            <w:tcW w:w="2972" w:type="dxa"/>
          </w:tcPr>
          <w:p w14:paraId="600C5D96" w14:textId="77777777" w:rsidR="000414AF" w:rsidRPr="000414AF" w:rsidRDefault="000414AF" w:rsidP="000414AF">
            <w:pPr>
              <w:spacing w:line="240" w:lineRule="auto"/>
              <w:rPr>
                <w:rFonts w:eastAsia="Calibri" w:cs="Arial"/>
                <w:b/>
                <w:sz w:val="20"/>
                <w:szCs w:val="20"/>
                <w:lang w:val="de-DE"/>
              </w:rPr>
            </w:pPr>
            <w:r w:rsidRPr="000414AF">
              <w:rPr>
                <w:rFonts w:eastAsia="Calibri" w:cs="Arial"/>
                <w:b/>
                <w:sz w:val="20"/>
                <w:szCs w:val="20"/>
                <w:lang w:val="de-DE"/>
              </w:rPr>
              <w:t>Optimierung</w:t>
            </w:r>
          </w:p>
          <w:p w14:paraId="556F1A1C" w14:textId="77777777" w:rsidR="000414AF" w:rsidRPr="000414AF" w:rsidRDefault="000414AF" w:rsidP="000414AF">
            <w:pPr>
              <w:spacing w:line="240" w:lineRule="auto"/>
              <w:rPr>
                <w:rFonts w:eastAsia="Calibri" w:cs="Arial"/>
                <w:sz w:val="20"/>
                <w:szCs w:val="20"/>
                <w:lang w:val="de-DE"/>
              </w:rPr>
            </w:pPr>
            <w:r w:rsidRPr="000414AF">
              <w:rPr>
                <w:rFonts w:eastAsia="Calibri" w:cs="Arial"/>
                <w:sz w:val="20"/>
                <w:szCs w:val="20"/>
                <w:lang w:val="de-DE"/>
              </w:rPr>
              <w:t xml:space="preserve">Unterstützung der Kunden bei der Verbesserung ihrer Produktivität. Vorbereitete Datensichten liefern auf Basis der erfassten Daten Empfehlungen. </w:t>
            </w:r>
          </w:p>
        </w:tc>
        <w:tc>
          <w:tcPr>
            <w:tcW w:w="3119" w:type="dxa"/>
          </w:tcPr>
          <w:p w14:paraId="22497D1D" w14:textId="77777777" w:rsidR="000414AF" w:rsidRPr="000414AF" w:rsidRDefault="000414AF" w:rsidP="000414AF">
            <w:pPr>
              <w:spacing w:line="240" w:lineRule="auto"/>
              <w:rPr>
                <w:rFonts w:eastAsia="Calibri" w:cs="Arial"/>
                <w:color w:val="000000"/>
                <w:sz w:val="20"/>
                <w:szCs w:val="20"/>
                <w:lang w:val="de-DE"/>
              </w:rPr>
            </w:pPr>
          </w:p>
        </w:tc>
        <w:tc>
          <w:tcPr>
            <w:tcW w:w="2925" w:type="dxa"/>
          </w:tcPr>
          <w:p w14:paraId="78518C4F" w14:textId="77777777" w:rsidR="000414AF" w:rsidRPr="000414AF" w:rsidRDefault="000414AF" w:rsidP="000414AF">
            <w:pPr>
              <w:numPr>
                <w:ilvl w:val="0"/>
                <w:numId w:val="15"/>
              </w:numPr>
              <w:spacing w:line="240" w:lineRule="auto"/>
              <w:contextualSpacing/>
              <w:rPr>
                <w:rFonts w:eastAsia="Calibri" w:cs="Arial"/>
                <w:sz w:val="20"/>
                <w:szCs w:val="20"/>
                <w:lang w:val="de-DE"/>
              </w:rPr>
            </w:pPr>
            <w:r w:rsidRPr="000414AF">
              <w:rPr>
                <w:rFonts w:eastAsia="Calibri" w:cs="Arial"/>
                <w:color w:val="000000"/>
                <w:sz w:val="20"/>
                <w:szCs w:val="20"/>
                <w:lang w:val="de-DE"/>
              </w:rPr>
              <w:t>Prozessoptimierung</w:t>
            </w:r>
          </w:p>
          <w:p w14:paraId="6B80BD8A" w14:textId="77777777" w:rsidR="000414AF" w:rsidRPr="000414AF" w:rsidRDefault="000414AF" w:rsidP="000414AF">
            <w:pPr>
              <w:numPr>
                <w:ilvl w:val="0"/>
                <w:numId w:val="15"/>
              </w:numPr>
              <w:spacing w:line="240" w:lineRule="auto"/>
              <w:contextualSpacing/>
              <w:rPr>
                <w:rFonts w:eastAsia="Calibri" w:cs="Arial"/>
                <w:sz w:val="20"/>
                <w:szCs w:val="20"/>
                <w:lang w:val="de-DE"/>
              </w:rPr>
            </w:pPr>
            <w:r w:rsidRPr="000414AF">
              <w:rPr>
                <w:rFonts w:eastAsia="Calibri" w:cs="Arial"/>
                <w:color w:val="000000"/>
                <w:sz w:val="20"/>
                <w:szCs w:val="20"/>
                <w:lang w:val="de-DE"/>
              </w:rPr>
              <w:t>Management der Maschineinstellungen</w:t>
            </w:r>
          </w:p>
          <w:p w14:paraId="44F4474D" w14:textId="77777777" w:rsidR="000414AF" w:rsidRPr="000414AF" w:rsidRDefault="000414AF" w:rsidP="000414AF">
            <w:pPr>
              <w:numPr>
                <w:ilvl w:val="0"/>
                <w:numId w:val="15"/>
              </w:numPr>
              <w:spacing w:line="240" w:lineRule="auto"/>
              <w:contextualSpacing/>
              <w:rPr>
                <w:rFonts w:eastAsia="Calibri" w:cs="Arial"/>
                <w:sz w:val="20"/>
                <w:szCs w:val="20"/>
                <w:lang w:val="de-DE"/>
              </w:rPr>
            </w:pPr>
            <w:r w:rsidRPr="000414AF">
              <w:rPr>
                <w:rFonts w:eastAsia="Calibri" w:cs="Arial"/>
                <w:color w:val="000000"/>
                <w:sz w:val="20"/>
                <w:szCs w:val="20"/>
                <w:lang w:val="de-DE"/>
              </w:rPr>
              <w:t>Produktionsdaten-Management</w:t>
            </w:r>
          </w:p>
          <w:p w14:paraId="6A602BAA" w14:textId="77777777" w:rsidR="000414AF" w:rsidRPr="000414AF" w:rsidRDefault="000414AF" w:rsidP="000414AF">
            <w:pPr>
              <w:numPr>
                <w:ilvl w:val="0"/>
                <w:numId w:val="15"/>
              </w:numPr>
              <w:spacing w:line="240" w:lineRule="auto"/>
              <w:contextualSpacing/>
              <w:rPr>
                <w:rFonts w:eastAsia="Calibri" w:cs="Arial"/>
                <w:sz w:val="20"/>
                <w:szCs w:val="20"/>
                <w:lang w:val="de-DE"/>
              </w:rPr>
            </w:pPr>
            <w:r w:rsidRPr="000414AF">
              <w:rPr>
                <w:rFonts w:eastAsia="Calibri" w:cs="Arial"/>
                <w:color w:val="000000"/>
                <w:sz w:val="20"/>
                <w:szCs w:val="20"/>
                <w:lang w:val="de-DE"/>
              </w:rPr>
              <w:t>Leistungsvergleiche</w:t>
            </w:r>
          </w:p>
        </w:tc>
      </w:tr>
      <w:tr w:rsidR="000414AF" w:rsidRPr="000414AF" w14:paraId="29B3D5B3" w14:textId="77777777" w:rsidTr="00765098">
        <w:tc>
          <w:tcPr>
            <w:tcW w:w="2972" w:type="dxa"/>
          </w:tcPr>
          <w:p w14:paraId="438B7EC7" w14:textId="77777777" w:rsidR="000414AF" w:rsidRPr="000414AF" w:rsidRDefault="000414AF" w:rsidP="000414AF">
            <w:pPr>
              <w:spacing w:line="240" w:lineRule="auto"/>
              <w:rPr>
                <w:rFonts w:eastAsia="Calibri" w:cs="Arial"/>
                <w:b/>
                <w:sz w:val="20"/>
                <w:szCs w:val="20"/>
                <w:lang w:val="de-DE"/>
              </w:rPr>
            </w:pPr>
            <w:r w:rsidRPr="000414AF">
              <w:rPr>
                <w:rFonts w:eastAsia="Calibri" w:cs="Arial"/>
                <w:b/>
                <w:sz w:val="20"/>
                <w:szCs w:val="20"/>
                <w:lang w:val="de-DE"/>
              </w:rPr>
              <w:t>Wartung, Problembehebung</w:t>
            </w:r>
          </w:p>
          <w:p w14:paraId="598B7D25" w14:textId="77777777" w:rsidR="000414AF" w:rsidRPr="000414AF" w:rsidRDefault="000414AF" w:rsidP="000414AF">
            <w:pPr>
              <w:spacing w:line="240" w:lineRule="auto"/>
              <w:rPr>
                <w:rFonts w:eastAsia="Calibri" w:cs="Arial"/>
                <w:sz w:val="20"/>
                <w:szCs w:val="20"/>
                <w:lang w:val="de-DE"/>
              </w:rPr>
            </w:pPr>
            <w:r w:rsidRPr="000414AF">
              <w:rPr>
                <w:rFonts w:eastAsia="Calibri" w:cs="Arial"/>
                <w:sz w:val="20"/>
                <w:szCs w:val="20"/>
                <w:lang w:val="de-DE"/>
              </w:rPr>
              <w:t>Unterstützung der Kunden, eine maximale Einsatzbereitschaft ihrer Produktionsanlagen sicherzustellen. Das beinhaltet die Live-Kommunikation mit Technik Service Spezialisten (TSS) .</w:t>
            </w:r>
          </w:p>
        </w:tc>
        <w:tc>
          <w:tcPr>
            <w:tcW w:w="3119" w:type="dxa"/>
          </w:tcPr>
          <w:p w14:paraId="574CE103" w14:textId="77777777" w:rsidR="000414AF" w:rsidRPr="000414AF" w:rsidRDefault="000414AF" w:rsidP="000414AF">
            <w:pPr>
              <w:numPr>
                <w:ilvl w:val="0"/>
                <w:numId w:val="13"/>
              </w:numPr>
              <w:spacing w:line="240" w:lineRule="auto"/>
              <w:contextualSpacing/>
              <w:rPr>
                <w:rFonts w:eastAsia="Calibri" w:cs="Arial"/>
                <w:color w:val="000000"/>
                <w:sz w:val="20"/>
                <w:szCs w:val="20"/>
                <w:lang w:val="de-DE"/>
              </w:rPr>
            </w:pPr>
            <w:r w:rsidRPr="000414AF">
              <w:rPr>
                <w:rFonts w:eastAsia="Calibri" w:cs="Arial"/>
                <w:sz w:val="20"/>
                <w:szCs w:val="20"/>
                <w:lang w:val="de-DE"/>
              </w:rPr>
              <w:t>Remote Assistance (Serviceunterstützung aus der Ferne)</w:t>
            </w:r>
          </w:p>
          <w:p w14:paraId="3B61117F" w14:textId="77777777" w:rsidR="000414AF" w:rsidRPr="000414AF" w:rsidRDefault="000414AF" w:rsidP="000414AF">
            <w:pPr>
              <w:numPr>
                <w:ilvl w:val="0"/>
                <w:numId w:val="13"/>
              </w:numPr>
              <w:spacing w:line="240" w:lineRule="auto"/>
              <w:contextualSpacing/>
              <w:rPr>
                <w:rFonts w:eastAsia="Calibri" w:cs="Arial"/>
                <w:color w:val="000000"/>
                <w:sz w:val="20"/>
                <w:szCs w:val="20"/>
                <w:lang w:val="de-DE"/>
              </w:rPr>
            </w:pPr>
            <w:r w:rsidRPr="000414AF">
              <w:rPr>
                <w:rFonts w:eastAsia="Calibri" w:cs="Arial"/>
                <w:sz w:val="20"/>
                <w:szCs w:val="20"/>
                <w:lang w:val="de-DE"/>
              </w:rPr>
              <w:t>Remote Assistance Augmented Reality (AR) (Service Unterstützung aus der Ferne mit Video-Unterstützung)</w:t>
            </w:r>
          </w:p>
        </w:tc>
        <w:tc>
          <w:tcPr>
            <w:tcW w:w="2925" w:type="dxa"/>
          </w:tcPr>
          <w:p w14:paraId="15E91413" w14:textId="77777777" w:rsidR="000414AF" w:rsidRPr="000414AF" w:rsidRDefault="000414AF" w:rsidP="000414AF">
            <w:pPr>
              <w:numPr>
                <w:ilvl w:val="0"/>
                <w:numId w:val="13"/>
              </w:numPr>
              <w:spacing w:line="240" w:lineRule="auto"/>
              <w:contextualSpacing/>
              <w:rPr>
                <w:rFonts w:eastAsia="Calibri" w:cs="Arial"/>
                <w:sz w:val="20"/>
                <w:szCs w:val="20"/>
                <w:lang w:val="de-DE"/>
              </w:rPr>
            </w:pPr>
            <w:r w:rsidRPr="000414AF">
              <w:rPr>
                <w:rFonts w:eastAsia="Calibri" w:cs="Arial"/>
                <w:color w:val="000000"/>
                <w:sz w:val="20"/>
                <w:szCs w:val="20"/>
                <w:lang w:val="de-DE"/>
              </w:rPr>
              <w:t>Wartungs- und Problembehebung</w:t>
            </w:r>
          </w:p>
        </w:tc>
      </w:tr>
      <w:tr w:rsidR="000414AF" w:rsidRPr="000414AF" w14:paraId="5D25A929" w14:textId="77777777" w:rsidTr="00765098">
        <w:tc>
          <w:tcPr>
            <w:tcW w:w="2972" w:type="dxa"/>
          </w:tcPr>
          <w:p w14:paraId="731A01BA" w14:textId="77777777" w:rsidR="000414AF" w:rsidRPr="000414AF" w:rsidRDefault="000414AF" w:rsidP="000414AF">
            <w:pPr>
              <w:spacing w:line="240" w:lineRule="auto"/>
              <w:rPr>
                <w:rFonts w:eastAsia="Calibri" w:cs="Arial"/>
                <w:b/>
                <w:sz w:val="20"/>
                <w:szCs w:val="20"/>
                <w:lang w:val="de-DE"/>
              </w:rPr>
            </w:pPr>
            <w:r w:rsidRPr="000414AF">
              <w:rPr>
                <w:rFonts w:eastAsia="Calibri" w:cs="Arial"/>
                <w:b/>
                <w:sz w:val="20"/>
                <w:szCs w:val="20"/>
                <w:lang w:val="de-DE"/>
              </w:rPr>
              <w:t>Marktplatz</w:t>
            </w:r>
          </w:p>
          <w:p w14:paraId="47C12445" w14:textId="77777777" w:rsidR="000414AF" w:rsidRPr="000414AF" w:rsidRDefault="000414AF" w:rsidP="000414AF">
            <w:pPr>
              <w:spacing w:line="240" w:lineRule="auto"/>
              <w:rPr>
                <w:rFonts w:eastAsia="Calibri" w:cs="Arial"/>
                <w:sz w:val="20"/>
                <w:szCs w:val="20"/>
                <w:lang w:val="de-DE"/>
              </w:rPr>
            </w:pPr>
            <w:r w:rsidRPr="000414AF">
              <w:rPr>
                <w:rFonts w:eastAsia="Calibri" w:cs="Arial"/>
                <w:sz w:val="20"/>
                <w:szCs w:val="20"/>
                <w:lang w:val="de-DE"/>
              </w:rPr>
              <w:t>Unterstützung der Kunden, die richtigen Ersatzteile und Services zu bekommen.</w:t>
            </w:r>
          </w:p>
        </w:tc>
        <w:tc>
          <w:tcPr>
            <w:tcW w:w="3119" w:type="dxa"/>
          </w:tcPr>
          <w:p w14:paraId="579953E4" w14:textId="77777777" w:rsidR="000414AF" w:rsidRPr="000414AF" w:rsidRDefault="000414AF" w:rsidP="000414AF">
            <w:pPr>
              <w:numPr>
                <w:ilvl w:val="0"/>
                <w:numId w:val="14"/>
              </w:numPr>
              <w:spacing w:line="240" w:lineRule="auto"/>
              <w:contextualSpacing/>
              <w:rPr>
                <w:rFonts w:eastAsia="Calibri" w:cs="Arial"/>
                <w:sz w:val="20"/>
                <w:szCs w:val="20"/>
                <w:lang w:val="de-DE"/>
              </w:rPr>
            </w:pPr>
            <w:r w:rsidRPr="000414AF">
              <w:rPr>
                <w:rFonts w:eastAsia="Calibri" w:cs="Arial"/>
                <w:sz w:val="20"/>
                <w:szCs w:val="20"/>
                <w:lang w:val="de-DE"/>
              </w:rPr>
              <w:t>MyBOBST</w:t>
            </w:r>
          </w:p>
        </w:tc>
        <w:tc>
          <w:tcPr>
            <w:tcW w:w="2925" w:type="dxa"/>
          </w:tcPr>
          <w:p w14:paraId="30343017" w14:textId="77777777" w:rsidR="000414AF" w:rsidRPr="000414AF" w:rsidRDefault="000414AF" w:rsidP="000414AF">
            <w:pPr>
              <w:numPr>
                <w:ilvl w:val="0"/>
                <w:numId w:val="14"/>
              </w:numPr>
              <w:spacing w:line="240" w:lineRule="auto"/>
              <w:contextualSpacing/>
              <w:rPr>
                <w:rFonts w:eastAsia="Calibri" w:cs="Arial"/>
                <w:sz w:val="20"/>
                <w:szCs w:val="20"/>
                <w:lang w:val="de-DE"/>
              </w:rPr>
            </w:pPr>
            <w:r w:rsidRPr="000414AF">
              <w:rPr>
                <w:rFonts w:eastAsia="Calibri" w:cs="Arial"/>
                <w:color w:val="000000"/>
                <w:sz w:val="20"/>
                <w:szCs w:val="20"/>
                <w:lang w:val="de-DE"/>
              </w:rPr>
              <w:t>Lizenz-Management</w:t>
            </w:r>
          </w:p>
        </w:tc>
      </w:tr>
    </w:tbl>
    <w:p w14:paraId="08D77CB0" w14:textId="77777777" w:rsidR="000414AF" w:rsidRPr="000414AF" w:rsidRDefault="000414AF" w:rsidP="000414AF">
      <w:pPr>
        <w:spacing w:after="160" w:line="259" w:lineRule="auto"/>
        <w:rPr>
          <w:rFonts w:eastAsia="Calibri" w:cs="Arial"/>
          <w:b/>
          <w:sz w:val="20"/>
          <w:szCs w:val="20"/>
          <w:lang w:val="de-DE"/>
        </w:rPr>
      </w:pPr>
      <w:r w:rsidRPr="000414AF">
        <w:rPr>
          <w:rFonts w:eastAsia="Calibri" w:cs="Arial"/>
          <w:b/>
          <w:sz w:val="20"/>
          <w:szCs w:val="20"/>
          <w:vertAlign w:val="superscript"/>
          <w:lang w:val="de-DE"/>
        </w:rPr>
        <w:t xml:space="preserve">1 </w:t>
      </w:r>
      <w:r w:rsidRPr="000414AF">
        <w:rPr>
          <w:rFonts w:eastAsia="Calibri" w:cs="Arial"/>
          <w:bCs/>
          <w:sz w:val="20"/>
          <w:szCs w:val="20"/>
          <w:lang w:val="de-DE"/>
        </w:rPr>
        <w:t>Nur indikativ</w:t>
      </w:r>
    </w:p>
    <w:p w14:paraId="4DD729E7" w14:textId="77777777" w:rsidR="000414AF" w:rsidRPr="000414AF" w:rsidRDefault="000414AF" w:rsidP="000414AF">
      <w:pPr>
        <w:spacing w:after="160" w:line="259" w:lineRule="auto"/>
        <w:rPr>
          <w:rFonts w:eastAsia="Calibri" w:cs="Arial"/>
          <w:sz w:val="20"/>
          <w:szCs w:val="20"/>
          <w:lang w:val="de-DE"/>
        </w:rPr>
      </w:pPr>
      <w:r w:rsidRPr="000414AF">
        <w:rPr>
          <w:rFonts w:eastAsia="Calibri" w:cs="Arial"/>
          <w:sz w:val="20"/>
          <w:szCs w:val="20"/>
          <w:lang w:val="de-DE"/>
        </w:rPr>
        <w:t>Zu den aktuell verfügbaren BOBST Connect-Lösungen zählen unter anderem Remote Monitoring, Remote Assistance mit Augmented Reality-Technik (AR) und MyBOBST. Remote Monitoring ist ein umfassendes Werkzeug für die Produktionsprotokollierung, das einen schnellen Zugriff auf Produktions- und Prozessdaten sowie auf technische Daten ermöglicht. Remote Assistance mit AR-Technik ist der erste Fernunterstützungsservice der Verpackungsindustrie, der ein intelligentes Headset mit AR-Brille verwendet. Bei MyBOBST handelt es sich um ein personalisiertes Portal für die Teilebeschaffung, Auftragsverfolgung, technische Informationen, Kundenservices, Sonderangebote.</w:t>
      </w:r>
    </w:p>
    <w:p w14:paraId="526F6513" w14:textId="77777777" w:rsidR="000414AF" w:rsidRPr="000414AF" w:rsidRDefault="000414AF" w:rsidP="000414AF">
      <w:pPr>
        <w:spacing w:after="160" w:line="259" w:lineRule="auto"/>
        <w:rPr>
          <w:rFonts w:eastAsia="Calibri" w:cs="Arial"/>
          <w:sz w:val="20"/>
          <w:szCs w:val="20"/>
          <w:lang w:val="de-DE"/>
        </w:rPr>
      </w:pPr>
      <w:r w:rsidRPr="000414AF">
        <w:rPr>
          <w:rFonts w:eastAsia="Calibri" w:cs="Arial"/>
          <w:sz w:val="20"/>
          <w:szCs w:val="20"/>
          <w:lang w:val="de-DE"/>
        </w:rPr>
        <w:t xml:space="preserve">“Im ersten Schritt haben wir eine Reihe von Lösungen etabliert, die es Verpackungsherstellern ermöglichen, ihre Konnektivität zu verbessern und ihre Zusammenarbeit mit anderen Unternehmen im Prozess zu optimieren,” so Serge. “Im Zuge der kontinuierlichen Weiterentwicklung der Plattform bringen wir neue Lösungen auf den Markt, die es unseren Kunden ermöglichen, sich fortwährend an ihr dynamisches Umfeld anzupassen. Kunden, die uns auf unserer BOBST Connect-Reise begleiten, werden von einem tiefen Verständnis des BOBST Connect-Mikrokosmos profitieren. Wir werden ihnen häufig aktualisierte Funktionen zur Verfügung stellen. Und sie werden mit ihren Rückmeldungen auf unsere Weiterentwicklung Einfluss nehmen können.” </w:t>
      </w:r>
    </w:p>
    <w:p w14:paraId="168561CC" w14:textId="77777777" w:rsidR="000414AF" w:rsidRPr="000414AF" w:rsidRDefault="000414AF" w:rsidP="000414AF">
      <w:pPr>
        <w:spacing w:after="160" w:line="259" w:lineRule="auto"/>
        <w:rPr>
          <w:rFonts w:eastAsia="Calibri" w:cs="Arial"/>
          <w:sz w:val="20"/>
          <w:szCs w:val="20"/>
          <w:lang w:val="de-DE"/>
        </w:rPr>
      </w:pPr>
      <w:r w:rsidRPr="000414AF">
        <w:rPr>
          <w:rFonts w:eastAsia="Calibri" w:cs="Arial"/>
          <w:sz w:val="20"/>
          <w:szCs w:val="20"/>
          <w:lang w:val="de-DE"/>
        </w:rPr>
        <w:t xml:space="preserve">Zu den spannenden Lösungen, die für 2021 in Vorbereitung sind, zählen die Einführung eines Managements von Maschineneinstellungen (recipe) in der Druckvorstufe für bestimmte Maschinen sowie </w:t>
      </w:r>
      <w:r w:rsidRPr="000414AF">
        <w:rPr>
          <w:rFonts w:eastAsia="Calibri" w:cs="Arial"/>
          <w:sz w:val="20"/>
          <w:szCs w:val="20"/>
          <w:lang w:val="de-DE"/>
        </w:rPr>
        <w:lastRenderedPageBreak/>
        <w:t xml:space="preserve">auf Produktionsebene die Einführung von Funktionen für die Anlagenüberwachung, das Produktionsdaten-Management und die Qualitätskontrolle. Darüber hinaus plant BOBST für 2021 die Vorstellung der zweiten Generation seines gefragten Fernunterstützungsservices mit Video-Unterstützung (AR-Technik). </w:t>
      </w:r>
    </w:p>
    <w:p w14:paraId="448E790A" w14:textId="329C99E7" w:rsidR="000414AF" w:rsidRPr="000414AF" w:rsidRDefault="000414AF" w:rsidP="000414AF">
      <w:pPr>
        <w:spacing w:after="160" w:line="259" w:lineRule="auto"/>
        <w:rPr>
          <w:rFonts w:eastAsia="Calibri" w:cs="Arial"/>
          <w:sz w:val="20"/>
          <w:szCs w:val="20"/>
          <w:lang w:val="de-DE"/>
        </w:rPr>
      </w:pPr>
      <w:r w:rsidRPr="000414AF">
        <w:rPr>
          <w:rFonts w:eastAsia="Calibri" w:cs="Arial"/>
          <w:sz w:val="20"/>
          <w:szCs w:val="20"/>
          <w:lang w:val="de-DE"/>
        </w:rPr>
        <w:t>Serge: “Wir werden BOBST Connect kontinuierlich an neue betriebliche Anforderungen, an die neuen Möglichkeiten unserer Produktionslösungen und an die stetig steigenden Service-Anforderungen unserer Kunden anpassen, damit wir ihnen die besten Lösungen und Services bieten können. Das Ziel ist der Aufbau einer vernetzten digitalen Umgebung, die den gesamten Produktionsprozess optimiert und so höhere Effizienz, mehr Transparenz, schnellere Markteinführungen und Entscheidungsfindungen sowie weniger Abfälle und Fehler ermöglicht. In einem volatilen Umfeld hilft es, unsere Kunden zukunftssicher zu machen.“</w:t>
      </w:r>
    </w:p>
    <w:p w14:paraId="45876F91"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7CFD72D"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03C03B45" w14:textId="77777777" w:rsidR="009F1941" w:rsidRPr="009F1941"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9F1941">
      <w:pPr>
        <w:autoSpaceDE w:val="0"/>
        <w:autoSpaceDN w:val="0"/>
        <w:adjustRightInd w:val="0"/>
        <w:spacing w:line="271" w:lineRule="auto"/>
        <w:rPr>
          <w:rFonts w:cs="Arial"/>
          <w:szCs w:val="19"/>
          <w:lang w:val="de-DE" w:eastAsia="fr-FR"/>
        </w:rPr>
      </w:pPr>
    </w:p>
    <w:p w14:paraId="767092AA" w14:textId="3DB67AFC" w:rsidR="00250299" w:rsidRPr="00F0252B"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Das 1890 von Joseph Bobst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8"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9"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0"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1"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2"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DE0A" w14:textId="77777777" w:rsidR="0003145F" w:rsidRDefault="0003145F" w:rsidP="00BB5BE9">
      <w:pPr>
        <w:spacing w:line="240" w:lineRule="auto"/>
      </w:pPr>
      <w:r>
        <w:separator/>
      </w:r>
    </w:p>
  </w:endnote>
  <w:endnote w:type="continuationSeparator" w:id="0">
    <w:p w14:paraId="48DE9261" w14:textId="77777777" w:rsidR="0003145F" w:rsidRDefault="0003145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AB3A" w14:textId="77777777" w:rsidR="0003145F" w:rsidRDefault="0003145F" w:rsidP="00BB5BE9">
      <w:pPr>
        <w:spacing w:line="240" w:lineRule="auto"/>
      </w:pPr>
      <w:r>
        <w:separator/>
      </w:r>
    </w:p>
  </w:footnote>
  <w:footnote w:type="continuationSeparator" w:id="0">
    <w:p w14:paraId="5165700F" w14:textId="77777777" w:rsidR="0003145F" w:rsidRDefault="0003145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03145F"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03145F"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4C5C"/>
    <w:multiLevelType w:val="hybridMultilevel"/>
    <w:tmpl w:val="B2B08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76433C"/>
    <w:multiLevelType w:val="hybridMultilevel"/>
    <w:tmpl w:val="6EC88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33E0D"/>
    <w:multiLevelType w:val="hybridMultilevel"/>
    <w:tmpl w:val="3F200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7B12D0"/>
    <w:multiLevelType w:val="hybridMultilevel"/>
    <w:tmpl w:val="E870A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F36580"/>
    <w:multiLevelType w:val="hybridMultilevel"/>
    <w:tmpl w:val="4A0C2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3145F"/>
    <w:rsid w:val="000414AF"/>
    <w:rsid w:val="00043F57"/>
    <w:rsid w:val="00074F4C"/>
    <w:rsid w:val="000B0678"/>
    <w:rsid w:val="000C22A1"/>
    <w:rsid w:val="00151B2F"/>
    <w:rsid w:val="00162F04"/>
    <w:rsid w:val="00165731"/>
    <w:rsid w:val="00185617"/>
    <w:rsid w:val="00193DE7"/>
    <w:rsid w:val="001B2D1A"/>
    <w:rsid w:val="001B2EB8"/>
    <w:rsid w:val="001E3CEF"/>
    <w:rsid w:val="00250299"/>
    <w:rsid w:val="0025289D"/>
    <w:rsid w:val="0027064C"/>
    <w:rsid w:val="00293A3F"/>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A45F6"/>
    <w:rsid w:val="007606FB"/>
    <w:rsid w:val="007B33D1"/>
    <w:rsid w:val="007F7404"/>
    <w:rsid w:val="007F7957"/>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table" w:customStyle="1" w:styleId="TableGrid10">
    <w:name w:val="Table Grid1"/>
    <w:basedOn w:val="TableNormal"/>
    <w:next w:val="TableGrid"/>
    <w:uiPriority w:val="39"/>
    <w:rsid w:val="000414AF"/>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bst.com/chen/about-bobst/moving-forward/bobst-connect/"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DE_28503.dotx</Template>
  <TotalTime>2</TotalTime>
  <Pages>3</Pages>
  <Words>1233</Words>
  <Characters>6635</Characters>
  <Application>Microsoft Office Word</Application>
  <DocSecurity>0</DocSecurity>
  <Lines>105</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3</cp:revision>
  <cp:lastPrinted>2015-02-06T09:00:00Z</cp:lastPrinted>
  <dcterms:created xsi:type="dcterms:W3CDTF">2021-02-15T06:40:00Z</dcterms:created>
  <dcterms:modified xsi:type="dcterms:W3CDTF">2021-02-15T06:44:00Z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